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C33EA" w:rsidRDefault="00190045">
      <w:pPr>
        <w:pStyle w:val="Nadpis1"/>
        <w:ind w:left="731"/>
      </w:pPr>
      <w:r>
        <w:t>POUČENÍ A SOUHRNNÉ INFORMACE O SOUBORECH COOKIES</w:t>
      </w:r>
    </w:p>
    <w:p w14:paraId="00000002" w14:textId="77777777" w:rsidR="002C33EA" w:rsidRDefault="001900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společnosti </w:t>
      </w:r>
      <w:r>
        <w:rPr>
          <w:rFonts w:ascii="Montserrat" w:eastAsia="Montserrat" w:hAnsi="Montserrat" w:cs="Montserrat"/>
          <w:b/>
          <w:sz w:val="20"/>
          <w:szCs w:val="20"/>
          <w:highlight w:val="yellow"/>
        </w:rPr>
        <w:t>DOPLNIT název společnosti/provozovatele</w:t>
      </w:r>
    </w:p>
    <w:p w14:paraId="00000003" w14:textId="77777777" w:rsidR="002C33EA" w:rsidRDefault="002C33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sz w:val="20"/>
          <w:szCs w:val="20"/>
        </w:rPr>
      </w:pPr>
    </w:p>
    <w:p w14:paraId="00000004" w14:textId="77777777" w:rsidR="002C33EA" w:rsidRDefault="001900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se sídlem </w:t>
      </w:r>
      <w:r>
        <w:rPr>
          <w:rFonts w:ascii="Montserrat" w:eastAsia="Montserrat" w:hAnsi="Montserrat" w:cs="Montserrat"/>
          <w:sz w:val="20"/>
          <w:szCs w:val="20"/>
          <w:highlight w:val="yellow"/>
        </w:rPr>
        <w:t>doplnit sídlo společnosti/provozovatele</w:t>
      </w:r>
      <w:r>
        <w:rPr>
          <w:rFonts w:ascii="Montserrat" w:eastAsia="Montserrat" w:hAnsi="Montserrat" w:cs="Montserrat"/>
          <w:sz w:val="20"/>
          <w:szCs w:val="20"/>
        </w:rPr>
        <w:t xml:space="preserve">, IČO: </w:t>
      </w:r>
      <w:r>
        <w:rPr>
          <w:rFonts w:ascii="Montserrat" w:eastAsia="Montserrat" w:hAnsi="Montserrat" w:cs="Montserrat"/>
          <w:sz w:val="20"/>
          <w:szCs w:val="20"/>
          <w:highlight w:val="yellow"/>
        </w:rPr>
        <w:t>doplnit IČO společnosti/provozovatele</w:t>
      </w:r>
      <w:r>
        <w:rPr>
          <w:rFonts w:ascii="Montserrat" w:eastAsia="Montserrat" w:hAnsi="Montserrat" w:cs="Montserrat"/>
          <w:sz w:val="20"/>
          <w:szCs w:val="20"/>
        </w:rPr>
        <w:t xml:space="preserve">, zapsaná u </w:t>
      </w:r>
      <w:r>
        <w:rPr>
          <w:rFonts w:ascii="Montserrat" w:eastAsia="Montserrat" w:hAnsi="Montserrat" w:cs="Montserrat"/>
          <w:sz w:val="20"/>
          <w:szCs w:val="20"/>
          <w:highlight w:val="yellow"/>
        </w:rPr>
        <w:t>doplnit název soudu</w:t>
      </w:r>
      <w:r>
        <w:rPr>
          <w:rFonts w:ascii="Montserrat" w:eastAsia="Montserrat" w:hAnsi="Montserrat" w:cs="Montserrat"/>
          <w:sz w:val="20"/>
          <w:szCs w:val="20"/>
        </w:rPr>
        <w:t xml:space="preserve">, oddíl </w:t>
      </w:r>
      <w:r>
        <w:rPr>
          <w:rFonts w:ascii="Montserrat" w:eastAsia="Montserrat" w:hAnsi="Montserrat" w:cs="Montserrat"/>
          <w:sz w:val="20"/>
          <w:szCs w:val="20"/>
          <w:highlight w:val="yellow"/>
        </w:rPr>
        <w:t>doplnit</w:t>
      </w:r>
      <w:r>
        <w:rPr>
          <w:rFonts w:ascii="Montserrat" w:eastAsia="Montserrat" w:hAnsi="Montserrat" w:cs="Montserrat"/>
          <w:sz w:val="20"/>
          <w:szCs w:val="20"/>
        </w:rPr>
        <w:t xml:space="preserve">, vložka </w:t>
      </w:r>
      <w:r>
        <w:rPr>
          <w:rFonts w:ascii="Montserrat" w:eastAsia="Montserrat" w:hAnsi="Montserrat" w:cs="Montserrat"/>
          <w:sz w:val="20"/>
          <w:szCs w:val="20"/>
          <w:highlight w:val="yellow"/>
        </w:rPr>
        <w:t>doplnit</w:t>
      </w:r>
      <w:r>
        <w:rPr>
          <w:rFonts w:ascii="Montserrat" w:eastAsia="Montserrat" w:hAnsi="Montserrat" w:cs="Montserrat"/>
          <w:sz w:val="20"/>
          <w:szCs w:val="20"/>
        </w:rPr>
        <w:t xml:space="preserve"> (dále jen „</w:t>
      </w:r>
      <w:r>
        <w:rPr>
          <w:rFonts w:ascii="Montserrat" w:eastAsia="Montserrat" w:hAnsi="Montserrat" w:cs="Montserrat"/>
          <w:b/>
          <w:sz w:val="20"/>
          <w:szCs w:val="20"/>
        </w:rPr>
        <w:t>správce</w:t>
      </w:r>
      <w:r>
        <w:rPr>
          <w:rFonts w:ascii="Montserrat" w:eastAsia="Montserrat" w:hAnsi="Montserrat" w:cs="Montserrat"/>
          <w:sz w:val="20"/>
          <w:szCs w:val="20"/>
        </w:rPr>
        <w:t>“ nebo „</w:t>
      </w:r>
      <w:r>
        <w:rPr>
          <w:rFonts w:ascii="Montserrat" w:eastAsia="Montserrat" w:hAnsi="Montserrat" w:cs="Montserrat"/>
          <w:b/>
          <w:sz w:val="20"/>
          <w:szCs w:val="20"/>
        </w:rPr>
        <w:t>my</w:t>
      </w:r>
      <w:r>
        <w:rPr>
          <w:rFonts w:ascii="Montserrat" w:eastAsia="Montserrat" w:hAnsi="Montserrat" w:cs="Montserrat"/>
          <w:sz w:val="20"/>
          <w:szCs w:val="20"/>
        </w:rPr>
        <w:t xml:space="preserve">“) </w:t>
      </w:r>
    </w:p>
    <w:p w14:paraId="00000005" w14:textId="77777777" w:rsidR="002C33EA" w:rsidRDefault="001900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563C1"/>
          <w:sz w:val="20"/>
          <w:szCs w:val="20"/>
          <w:u w:val="single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pro prodej zboží prostřednictvím internetového obchodu umístěného na adrese </w:t>
      </w:r>
      <w:r>
        <w:rPr>
          <w:rFonts w:ascii="Montserrat" w:eastAsia="Montserrat" w:hAnsi="Montserrat" w:cs="Montserrat"/>
          <w:b/>
          <w:sz w:val="20"/>
          <w:szCs w:val="20"/>
          <w:highlight w:val="yellow"/>
        </w:rPr>
        <w:t>DOPLNIT odkaz na e-shop</w:t>
      </w:r>
    </w:p>
    <w:p w14:paraId="00000006" w14:textId="77777777" w:rsidR="002C33EA" w:rsidRDefault="00190045">
      <w:pPr>
        <w:pStyle w:val="Nadpis2"/>
        <w:numPr>
          <w:ilvl w:val="1"/>
          <w:numId w:val="2"/>
        </w:numPr>
      </w:pPr>
      <w:r>
        <w:t>Co jsou soubory „cookies”?</w:t>
      </w:r>
    </w:p>
    <w:p w14:paraId="00000007" w14:textId="77777777" w:rsidR="002C33EA" w:rsidRDefault="00190045">
      <w:pPr>
        <w:pStyle w:val="Nadpis3"/>
        <w:numPr>
          <w:ilvl w:val="2"/>
          <w:numId w:val="2"/>
        </w:numPr>
        <w:rPr>
          <w:rFonts w:ascii="Tahoma" w:eastAsia="Tahoma" w:hAnsi="Tahoma" w:cs="Tahoma"/>
        </w:rPr>
      </w:pPr>
      <w:r>
        <w:t>Soubory cookies jsou počítačová data, zejména textové soubory, uložené v zařízen</w:t>
      </w:r>
      <w:r>
        <w:t xml:space="preserve">í uživatele (počítače, telefony atd.) určená pro použití na webových stránkách. Tyto soubory umožňují identifikaci zařízení uživatele a správné zobrazení webové stránky dle individuálních preferencí. Činnosti zpracování souborů cookies se tedy budou týkat </w:t>
      </w:r>
      <w:r>
        <w:t xml:space="preserve">nejen kupujících nebo registrovaných uživatelů, ale i prostých návštěvníků webových stránek </w:t>
      </w:r>
      <w:r>
        <w:rPr>
          <w:b/>
          <w:highlight w:val="yellow"/>
        </w:rPr>
        <w:t>DOPLNIT odkaz na e-shop</w:t>
      </w:r>
      <w:r>
        <w:t xml:space="preserve"> (dále jen „</w:t>
      </w:r>
      <w:r>
        <w:rPr>
          <w:b/>
        </w:rPr>
        <w:t>návštěvník</w:t>
      </w:r>
      <w:r>
        <w:t>“ nebo „</w:t>
      </w:r>
      <w:r>
        <w:rPr>
          <w:b/>
        </w:rPr>
        <w:t>vy</w:t>
      </w:r>
      <w:r>
        <w:t>“)</w:t>
      </w:r>
    </w:p>
    <w:p w14:paraId="00000008" w14:textId="77777777" w:rsidR="002C33EA" w:rsidRDefault="00190045">
      <w:pPr>
        <w:pStyle w:val="Nadpis3"/>
        <w:numPr>
          <w:ilvl w:val="2"/>
          <w:numId w:val="2"/>
        </w:numPr>
      </w:pPr>
      <w:r>
        <w:t>Některé ze souborů cookies mohou být osobním údajem (mohou být spojeny s konkrétní osobou), neboť umožňují</w:t>
      </w:r>
      <w:r>
        <w:t xml:space="preserve"> identifikaci zařízení uživatele, z toho důvodu správce osobních údajů vydává toto poučení. Např. přiřazením určitého chování určitému návštěvníkovi, jejich propojením s údaji poskytnutými při registraci účtu v elektronickém obchodě. </w:t>
      </w:r>
    </w:p>
    <w:p w14:paraId="00000009" w14:textId="77777777" w:rsidR="002C33EA" w:rsidRDefault="00190045">
      <w:pPr>
        <w:pStyle w:val="Nadpis3"/>
        <w:numPr>
          <w:ilvl w:val="2"/>
          <w:numId w:val="2"/>
        </w:numPr>
      </w:pPr>
      <w:r>
        <w:t>Vzhledem k tomu, že s</w:t>
      </w:r>
      <w:r>
        <w:t>právce může používat řešení obdobná funkcemi jako soubory cookies, tato ustanovení platí i pro tyto technologie.</w:t>
      </w:r>
    </w:p>
    <w:p w14:paraId="0000000A" w14:textId="77777777" w:rsidR="002C33EA" w:rsidRDefault="00190045">
      <w:pPr>
        <w:pStyle w:val="Nadpis3"/>
        <w:numPr>
          <w:ilvl w:val="2"/>
          <w:numId w:val="2"/>
        </w:numPr>
        <w:rPr>
          <w:rFonts w:ascii="Tahoma" w:eastAsia="Tahoma" w:hAnsi="Tahoma" w:cs="Tahoma"/>
        </w:rPr>
      </w:pPr>
      <w:r>
        <w:t xml:space="preserve">Webové stránky </w:t>
      </w:r>
      <w:r>
        <w:rPr>
          <w:b/>
          <w:highlight w:val="yellow"/>
        </w:rPr>
        <w:t>DOPLNIT odkaz na e-shop</w:t>
      </w:r>
      <w:r>
        <w:t xml:space="preserve"> lze používat i v režimu, který neumožňuje sbírání údajů o chování návštěvníků webu – tento režim je možn</w:t>
      </w:r>
      <w:r>
        <w:t>ý buďto nastavit v rámci nastavení prohlížeče, nebo je možné vznést proti takovému sběru na základě oprávněného zájmu správce námitku dle čl. 21 GDPR, zasláním emailu na adresu </w:t>
      </w:r>
      <w:r>
        <w:rPr>
          <w:highlight w:val="yellow"/>
        </w:rPr>
        <w:t>DOPLNIT kontaktní emailovou adresu e-shopu.</w:t>
      </w:r>
      <w:r>
        <w:t xml:space="preserve"> Vaše námitka bude vyhodnocena bezod</w:t>
      </w:r>
      <w:r>
        <w:t xml:space="preserve">kladně. Cookies nezbytné pro funkčnost webu budou uchovány pouze po dobu nezbytně nutnou pro fungování webu. </w:t>
      </w:r>
    </w:p>
    <w:p w14:paraId="0000000B" w14:textId="77777777" w:rsidR="002C33EA" w:rsidRDefault="00190045">
      <w:pPr>
        <w:pStyle w:val="Nadpis2"/>
        <w:numPr>
          <w:ilvl w:val="1"/>
          <w:numId w:val="2"/>
        </w:numPr>
      </w:pPr>
      <w:r>
        <w:t xml:space="preserve">K čemu jsou užitečné soubory cookies? </w:t>
      </w:r>
    </w:p>
    <w:p w14:paraId="0000000C" w14:textId="77777777" w:rsidR="002C33EA" w:rsidRDefault="00190045">
      <w:pPr>
        <w:pStyle w:val="Nadpis3"/>
        <w:numPr>
          <w:ilvl w:val="2"/>
          <w:numId w:val="2"/>
        </w:numPr>
      </w:pPr>
      <w:r>
        <w:t>Soubory cookies jsou součástí HTTP protokolu, který se používá pro komunikaci mezi webovým serverem a prohl</w:t>
      </w:r>
      <w:r>
        <w:t xml:space="preserve">ížečem. Skládají se z: identifikačního klíče, hodnoty a doby, po jaké by měl prohlížeč cookies odstranit. Jejich funkce jsou většinou standardní a slouží pro nastavení prohlížeče. </w:t>
      </w:r>
    </w:p>
    <w:p w14:paraId="0000000D" w14:textId="77777777" w:rsidR="002C33EA" w:rsidRDefault="00190045">
      <w:pPr>
        <w:pStyle w:val="Nadpis3"/>
        <w:numPr>
          <w:ilvl w:val="2"/>
          <w:numId w:val="2"/>
        </w:numPr>
      </w:pPr>
      <w:r>
        <w:t xml:space="preserve">V okamžiku, kdy uživatel používá </w:t>
      </w:r>
      <w:proofErr w:type="gramStart"/>
      <w:r>
        <w:t>naší</w:t>
      </w:r>
      <w:proofErr w:type="gramEnd"/>
      <w:r>
        <w:t xml:space="preserve"> stránku, aplikujeme soubory cookies umožňující identifikaci prohlížeče nebo zařízení uživatele – soubory cookies obsahují různé druhy informací, které ve své podstatě nejsou osobními údaji (neumožňují identifikaci uživ</w:t>
      </w:r>
      <w:r>
        <w:t xml:space="preserve">atele – funkční a výkonnostní). </w:t>
      </w:r>
    </w:p>
    <w:p w14:paraId="0000000E" w14:textId="77777777" w:rsidR="002C33EA" w:rsidRDefault="00190045">
      <w:pPr>
        <w:pStyle w:val="Nadpis3"/>
        <w:numPr>
          <w:ilvl w:val="2"/>
          <w:numId w:val="2"/>
        </w:numPr>
      </w:pPr>
      <w:r>
        <w:t xml:space="preserve">Soubory cookies se používají k přizpůsobení obsahu stránek Vašim preferencím, včetně našich nabídek, a pro zlepšení a personalizaci obsahu webových stránek (marketingové). </w:t>
      </w:r>
    </w:p>
    <w:p w14:paraId="0000000F" w14:textId="77777777" w:rsidR="002C33EA" w:rsidRDefault="00190045">
      <w:pPr>
        <w:pStyle w:val="Nadpis2"/>
        <w:numPr>
          <w:ilvl w:val="1"/>
          <w:numId w:val="2"/>
        </w:numPr>
      </w:pPr>
      <w:r>
        <w:t>Které soubory cookies používáme?</w:t>
      </w:r>
    </w:p>
    <w:p w14:paraId="00000010" w14:textId="77777777" w:rsidR="002C33EA" w:rsidRDefault="00190045">
      <w:pPr>
        <w:pStyle w:val="Nadpis3"/>
        <w:numPr>
          <w:ilvl w:val="2"/>
          <w:numId w:val="2"/>
        </w:numPr>
      </w:pPr>
      <w:r>
        <w:t xml:space="preserve">Nezbytné cookies </w:t>
      </w:r>
      <w:r>
        <w:t xml:space="preserve">pro fungování webu označujeme jako „Funkční“ a vzhledem k jejich smyslu jejich zpracování nelze zakázat (jinak by jednoduše webová stránka nefungovala, proto je políčko stále zaškrtnuté a musí to tak zůstat). </w:t>
      </w:r>
    </w:p>
    <w:p w14:paraId="00000011" w14:textId="77777777" w:rsidR="002C33EA" w:rsidRDefault="00190045">
      <w:pPr>
        <w:pStyle w:val="Nadpis3"/>
        <w:numPr>
          <w:ilvl w:val="2"/>
          <w:numId w:val="2"/>
        </w:numPr>
      </w:pPr>
      <w:r>
        <w:t xml:space="preserve">Výkonnostní cookies (označujeme jako „Výkon“) </w:t>
      </w:r>
      <w:r>
        <w:t xml:space="preserve">jsou zpracovávány na základě oprávněného zájmu správce na zachování dobrého uživatelského zážitku </w:t>
      </w:r>
      <w:r>
        <w:lastRenderedPageBreak/>
        <w:t>z webu a proti jejich zpracování lze podat námitku tím způsobem, že jejich zpracování uživatel vypne v nastavení cookies. V takovém případě se tím může zhorši</w:t>
      </w:r>
      <w:r>
        <w:t xml:space="preserve">t celková funkčnost webových stránek. </w:t>
      </w:r>
    </w:p>
    <w:p w14:paraId="00000012" w14:textId="77777777" w:rsidR="002C33EA" w:rsidRDefault="00190045">
      <w:pPr>
        <w:pStyle w:val="Nadpis3"/>
        <w:numPr>
          <w:ilvl w:val="2"/>
          <w:numId w:val="2"/>
        </w:numPr>
      </w:pPr>
      <w:r>
        <w:t>Marketingové cookies (označujeme jako „Sociální média a marketing“) zpracováváme jen v případě, že nám k tomu návštěvník udělí souhlas. Tento typ cookies slouží k tomu, abychom byli schopni zobrazovat relevantní rekla</w:t>
      </w:r>
      <w:r>
        <w:t xml:space="preserve">mní obsah našim zákazníkům, a to i na jiných webových stránkách nebo sociálních sítích. Pokud zakážete tento typ cookies, mohou se vám zobrazovat reklamy, které méně souvisejí s vašimi zájmy, nebo nebudete moci účinně používat odkazy na Facebook, Linkedin </w:t>
      </w:r>
      <w:r>
        <w:t xml:space="preserve">či jiné sociální sítě anebo nebudete moci sdílet obsah na sociálních médiích. Neznamená to však, že se vám reklamní obsah nebude zobrazovat vůbec – jen nebude přizpůsoben vašim preferencím a tomu, co vás zajímá. </w:t>
      </w:r>
    </w:p>
    <w:p w14:paraId="00000013" w14:textId="77777777" w:rsidR="002C33EA" w:rsidRDefault="00190045">
      <w:pPr>
        <w:pStyle w:val="Nadpis3"/>
        <w:numPr>
          <w:ilvl w:val="2"/>
          <w:numId w:val="2"/>
        </w:numPr>
      </w:pPr>
      <w:r>
        <w:t>Soubory cookies používané na našich stránká</w:t>
      </w:r>
      <w:r>
        <w:t>ch lze z hlediska jejich trvanlivosti rozdělit na dva základní typy. Krátkodobé, tzv. „session cookie“ které jsou pouze dočasné a zůstávají uloženy ve vašem prohlížeči pouze do té doby, než prohlížeč zavřete, a dlouhodobé tzv. „persistent cookie“, které zů</w:t>
      </w:r>
      <w:r>
        <w:t>stávají uloženy ve Vašem zařízení mnohem déle nebo dokud je ručně neodstraníte (doba ponechání souborů cookies ve vašem zařízení závisí na nastavení samotné cookie a nastavení vašeho prohlížeče).</w:t>
      </w:r>
    </w:p>
    <w:p w14:paraId="00000014" w14:textId="77777777" w:rsidR="002C33EA" w:rsidRDefault="00190045">
      <w:pPr>
        <w:pStyle w:val="Nadpis3"/>
        <w:numPr>
          <w:ilvl w:val="2"/>
          <w:numId w:val="2"/>
        </w:numPr>
      </w:pPr>
      <w:r>
        <w:t>Cookies používané spolupracujícími subjekty provozovatele we</w:t>
      </w:r>
      <w:r>
        <w:t>bových stránek jsou předmětem jejich vlastní politiky ochrany osobních údajů (např. Facebooku).</w:t>
      </w:r>
    </w:p>
    <w:p w14:paraId="00000015" w14:textId="77777777" w:rsidR="002C33EA" w:rsidRDefault="00190045">
      <w:pPr>
        <w:pStyle w:val="Nadpis2"/>
        <w:numPr>
          <w:ilvl w:val="1"/>
          <w:numId w:val="2"/>
        </w:numPr>
      </w:pPr>
      <w:r>
        <w:t>Jaký právní titul ke zpracování souborů cookies máme?</w:t>
      </w:r>
    </w:p>
    <w:p w14:paraId="00000016" w14:textId="77777777" w:rsidR="002C33EA" w:rsidRDefault="00190045">
      <w:pPr>
        <w:pStyle w:val="Nadpis3"/>
        <w:numPr>
          <w:ilvl w:val="2"/>
          <w:numId w:val="2"/>
        </w:numPr>
        <w:rPr>
          <w:rFonts w:ascii="Tahoma" w:eastAsia="Tahoma" w:hAnsi="Tahoma" w:cs="Tahoma"/>
        </w:rPr>
      </w:pPr>
      <w:r>
        <w:rPr>
          <w:b/>
        </w:rPr>
        <w:t>Oprávněný zájem</w:t>
      </w:r>
      <w:r>
        <w:t xml:space="preserve"> </w:t>
      </w:r>
      <w:r>
        <w:rPr>
          <w:b/>
        </w:rPr>
        <w:t>správce</w:t>
      </w:r>
      <w:r>
        <w:t xml:space="preserve">. </w:t>
      </w:r>
      <w:r>
        <w:rPr>
          <w:highlight w:val="white"/>
        </w:rPr>
        <w:t>Sběr cookies za účelem měření návštěvnosti a vytváření statistik může být považov</w:t>
      </w:r>
      <w:r>
        <w:rPr>
          <w:highlight w:val="white"/>
        </w:rPr>
        <w:t xml:space="preserve">áno za zpracování osobních údajů. Takové zpracování je možné na základě zákonného </w:t>
      </w:r>
      <w:proofErr w:type="gramStart"/>
      <w:r>
        <w:rPr>
          <w:highlight w:val="white"/>
        </w:rPr>
        <w:t>důvodu - oprávněného</w:t>
      </w:r>
      <w:proofErr w:type="gramEnd"/>
      <w:r>
        <w:rPr>
          <w:highlight w:val="white"/>
        </w:rPr>
        <w:t xml:space="preserve"> zájmu správce na řádném provozu webu a e-shopu a zachování vysokého uživatelského zážitku, a umožňuje ho čl. 6 odst. 1 písm. f) </w:t>
      </w:r>
      <w:r>
        <w:t>nařízení Evropského parla</w:t>
      </w:r>
      <w:r>
        <w:t>mentu a rady (EU) 2016/679</w:t>
      </w:r>
      <w:r>
        <w:rPr>
          <w:highlight w:val="white"/>
        </w:rPr>
        <w:t>.</w:t>
      </w:r>
      <w:r>
        <w:t xml:space="preserve"> </w:t>
      </w:r>
    </w:p>
    <w:p w14:paraId="00000017" w14:textId="77777777" w:rsidR="002C33EA" w:rsidRDefault="00190045">
      <w:pPr>
        <w:pStyle w:val="Nadpis3"/>
        <w:numPr>
          <w:ilvl w:val="2"/>
          <w:numId w:val="3"/>
        </w:numPr>
        <w:rPr>
          <w:rFonts w:ascii="Tahoma" w:eastAsia="Tahoma" w:hAnsi="Tahoma" w:cs="Tahoma"/>
        </w:rPr>
      </w:pPr>
      <w:r>
        <w:rPr>
          <w:b/>
        </w:rPr>
        <w:t>Souhlas návštěvníka.</w:t>
      </w:r>
      <w:r>
        <w:t xml:space="preserve"> Cookies pro cílení reklamy („sociální média a marketing“) jsou zpracovávány na základě vašeho souhlasu. Souhlas udělujete na dobu, která je uvedena dále u jednotlivých marketingových cookies. Souhlas se sbíráním údajů souborů cookies pro marketingové účel</w:t>
      </w:r>
      <w:r>
        <w:t xml:space="preserve">y lze vzít kdykoliv zpět, a to pomocí změny nastavení příslušného internetového prohlížeče nebo nastavení na našich stránkách. </w:t>
      </w:r>
    </w:p>
    <w:p w14:paraId="00000018" w14:textId="77777777" w:rsidR="002C33EA" w:rsidRDefault="00190045">
      <w:pPr>
        <w:pStyle w:val="Nadpis2"/>
        <w:numPr>
          <w:ilvl w:val="1"/>
          <w:numId w:val="4"/>
        </w:numPr>
      </w:pPr>
      <w:r>
        <w:t xml:space="preserve">Jak blokovat zpracování cookies </w:t>
      </w:r>
    </w:p>
    <w:p w14:paraId="00000019" w14:textId="77777777" w:rsidR="002C33EA" w:rsidRDefault="00190045">
      <w:pPr>
        <w:pStyle w:val="Nadpis3"/>
        <w:numPr>
          <w:ilvl w:val="2"/>
          <w:numId w:val="4"/>
        </w:numPr>
        <w:rPr>
          <w:rFonts w:ascii="Tahoma" w:eastAsia="Tahoma" w:hAnsi="Tahoma" w:cs="Tahoma"/>
        </w:rPr>
      </w:pPr>
      <w:r>
        <w:t>Souhlas s využíváním souborů cookies můžete nastavovat prostřednictvím nastavení soukromých úda</w:t>
      </w:r>
      <w:r>
        <w:t xml:space="preserve">jů na stránce dostupné na </w:t>
      </w:r>
      <w:r>
        <w:rPr>
          <w:b/>
          <w:highlight w:val="yellow"/>
        </w:rPr>
        <w:t>DOPLNIT odkaz na e-shop</w:t>
      </w:r>
      <w:r>
        <w:t xml:space="preserve"> nebo internetového prohlížeče na Vašem zařízení.</w:t>
      </w:r>
    </w:p>
    <w:p w14:paraId="0000001A" w14:textId="77777777" w:rsidR="002C33EA" w:rsidRDefault="00190045">
      <w:pPr>
        <w:pStyle w:val="Nadpis3"/>
        <w:numPr>
          <w:ilvl w:val="2"/>
          <w:numId w:val="4"/>
        </w:numPr>
      </w:pPr>
      <w:r>
        <w:t>Ve výchozím nastavení internetového prohlížeče nebo jiného software nainstalovaného v počítači nebo jiném zařízení připojeném k síti lze povolit ukládání urč</w:t>
      </w:r>
      <w:r>
        <w:t>itých typů souborů cookies v takovém zařízení. Tato nastavení lze měnit tak, že se v nastavení prohlížení zablokuje používání souborů cookies nebo je uživatel informován o každém jednotlivém přenosu do zařízení uživatele. Tímto způsobem může být kdykoliv z</w:t>
      </w:r>
      <w:r>
        <w:t>rušen nebo jinak nastaven rozsah souhlasu s použitím této technologie (zablokování ukládání souborů cookies v budoucnu).</w:t>
      </w:r>
    </w:p>
    <w:p w14:paraId="0000001B" w14:textId="77777777" w:rsidR="002C33EA" w:rsidRDefault="00190045">
      <w:pPr>
        <w:pStyle w:val="Nadpis3"/>
        <w:numPr>
          <w:ilvl w:val="2"/>
          <w:numId w:val="4"/>
        </w:numPr>
      </w:pPr>
      <w:r>
        <w:t>Odmítnutí používání souborů cookies platí pouze pro daný prohlížeč. V případě používání jakéhokoliv jiného prohlížeče na stejném nebo j</w:t>
      </w:r>
      <w:r>
        <w:t>iném zařízení je nutné opětovné nastavení stejných podmínek.</w:t>
      </w:r>
    </w:p>
    <w:p w14:paraId="0000001C" w14:textId="77777777" w:rsidR="002C33EA" w:rsidRDefault="00190045">
      <w:pPr>
        <w:pStyle w:val="Nadpis2"/>
        <w:numPr>
          <w:ilvl w:val="1"/>
          <w:numId w:val="4"/>
        </w:numPr>
      </w:pPr>
      <w:r>
        <w:t xml:space="preserve">Jaké služby jsou s využíváním cookies souvisejí? </w:t>
      </w:r>
    </w:p>
    <w:p w14:paraId="0000001D" w14:textId="77777777" w:rsidR="002C33EA" w:rsidRDefault="00190045">
      <w:pPr>
        <w:pStyle w:val="Nadpis3"/>
        <w:numPr>
          <w:ilvl w:val="2"/>
          <w:numId w:val="4"/>
        </w:numPr>
      </w:pPr>
      <w:r>
        <w:lastRenderedPageBreak/>
        <w:t>Soubory cookies, které používá správce, se primárně používají k optimalizaci služby návštěvníka během používání internetového obchodu. Správce vš</w:t>
      </w:r>
      <w:r>
        <w:t>ak spolupracuje s dalšími společnostmi v rámci své marketingové (reklamní) činnosti. Pro účely této spolupráce prohlížeč nebo jiný software nainstalovaný na zařízení návštěvníka také ukládá soubory cookies od subjektů provádějících uvedené marketingové akt</w:t>
      </w:r>
      <w:r>
        <w:t>ivity a které se mohou stát správcem osobních údajů zákazníka. Soubory cookies odesílané těmito subjekty mají zajistit, aby návštěvníci byli seznamováni pouze s reklamami, které splňují jejich individuální zájmy a potřeby. Podle názoru správce je pro návšt</w:t>
      </w:r>
      <w:r>
        <w:t>ěvníky atraktivnější zobrazování přizpůsobené reklamy než reklama, která nesouvisí s jejich potřebami. Bez těchto souborů by to nebylo možné, protože společnosti spolupracující se správcem zasílají návštěvníkům reklamní obsah.</w:t>
      </w:r>
    </w:p>
    <w:p w14:paraId="0000001E" w14:textId="77777777" w:rsidR="002C33EA" w:rsidRDefault="00190045">
      <w:pPr>
        <w:pStyle w:val="Nadpis3"/>
        <w:numPr>
          <w:ilvl w:val="2"/>
          <w:numId w:val="4"/>
        </w:numPr>
      </w:pPr>
      <w:bookmarkStart w:id="0" w:name="_heading=h.gjdgxs" w:colFirst="0" w:colLast="0"/>
      <w:bookmarkEnd w:id="0"/>
      <w:r>
        <w:t>Jako součást marketingových a</w:t>
      </w:r>
      <w:r>
        <w:t xml:space="preserve">ktivit používá správce </w:t>
      </w:r>
      <w:sdt>
        <w:sdtPr>
          <w:tag w:val="goog_rdk_0"/>
          <w:id w:val="-1283882621"/>
        </w:sdtPr>
        <w:sdtEndPr/>
        <w:sdtContent>
          <w:commentRangeStart w:id="1"/>
        </w:sdtContent>
      </w:sdt>
      <w:r>
        <w:t>následující subjekty</w:t>
      </w:r>
      <w:commentRangeEnd w:id="1"/>
      <w:r>
        <w:commentReference w:id="1"/>
      </w:r>
      <w:r>
        <w:t>, kteří používají soubory cookies:</w:t>
      </w:r>
    </w:p>
    <w:p w14:paraId="0000001F" w14:textId="77777777" w:rsidR="002C33EA" w:rsidRDefault="00190045">
      <w:pPr>
        <w:pStyle w:val="Nadpis4"/>
        <w:numPr>
          <w:ilvl w:val="3"/>
          <w:numId w:val="5"/>
        </w:numPr>
        <w:rPr>
          <w:highlight w:val="yellow"/>
        </w:rPr>
      </w:pPr>
      <w:r>
        <w:rPr>
          <w:highlight w:val="yellow"/>
        </w:rPr>
        <w:t xml:space="preserve">Google Analytics, provozovanou společností Google Inc., sídlem 1600 Amphitheatre Parkway, Mountain View, CA 94043, USA., </w:t>
      </w:r>
    </w:p>
    <w:p w14:paraId="00000020" w14:textId="77777777" w:rsidR="002C33EA" w:rsidRDefault="00190045">
      <w:pPr>
        <w:pStyle w:val="Nadpis4"/>
        <w:numPr>
          <w:ilvl w:val="3"/>
          <w:numId w:val="5"/>
        </w:numPr>
        <w:rPr>
          <w:highlight w:val="yellow"/>
        </w:rPr>
      </w:pPr>
      <w:r>
        <w:rPr>
          <w:highlight w:val="yellow"/>
        </w:rPr>
        <w:t>Google Ads, provozovanou společností Google Inc., s</w:t>
      </w:r>
      <w:r>
        <w:rPr>
          <w:highlight w:val="yellow"/>
        </w:rPr>
        <w:t>ídlem 1600 Amphitheatre Parkway, Mountain View, CA 94043, USA.,</w:t>
      </w:r>
    </w:p>
    <w:p w14:paraId="00000021" w14:textId="77777777" w:rsidR="002C33EA" w:rsidRDefault="00190045">
      <w:pPr>
        <w:pStyle w:val="Nadpis4"/>
        <w:numPr>
          <w:ilvl w:val="3"/>
          <w:numId w:val="5"/>
        </w:numPr>
        <w:rPr>
          <w:highlight w:val="yellow"/>
        </w:rPr>
      </w:pPr>
      <w:r>
        <w:rPr>
          <w:highlight w:val="yellow"/>
        </w:rPr>
        <w:t xml:space="preserve">Sklik, provozovanou společností Seznam.cz, a.s., sídlem Radlická 3294/10, Praha 5 - Smíchov, IČ 261 68 685, </w:t>
      </w:r>
    </w:p>
    <w:p w14:paraId="00000022" w14:textId="77777777" w:rsidR="002C33EA" w:rsidRDefault="002C33EA">
      <w:pPr>
        <w:pStyle w:val="Nadpis4"/>
        <w:ind w:left="851" w:firstLine="0"/>
      </w:pPr>
    </w:p>
    <w:p w14:paraId="00000023" w14:textId="77777777" w:rsidR="002C33EA" w:rsidRDefault="00190045">
      <w:pPr>
        <w:pStyle w:val="Nadpis2"/>
        <w:numPr>
          <w:ilvl w:val="1"/>
          <w:numId w:val="4"/>
        </w:numPr>
        <w:rPr>
          <w:highlight w:val="yellow"/>
        </w:rPr>
      </w:pPr>
      <w:sdt>
        <w:sdtPr>
          <w:tag w:val="goog_rdk_1"/>
          <w:id w:val="-739559808"/>
        </w:sdtPr>
        <w:sdtEndPr/>
        <w:sdtContent>
          <w:commentRangeStart w:id="2"/>
        </w:sdtContent>
      </w:sdt>
      <w:r>
        <w:rPr>
          <w:highlight w:val="yellow"/>
        </w:rPr>
        <w:t>Druhy cookies</w:t>
      </w:r>
      <w:commentRangeEnd w:id="2"/>
      <w:r>
        <w:commentReference w:id="2"/>
      </w:r>
    </w:p>
    <w:tbl>
      <w:tblPr>
        <w:tblStyle w:val="a0"/>
        <w:tblW w:w="8290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2073"/>
        <w:gridCol w:w="2072"/>
        <w:gridCol w:w="2073"/>
      </w:tblGrid>
      <w:tr w:rsidR="002C33EA" w14:paraId="60C4A283" w14:textId="77777777">
        <w:trPr>
          <w:trHeight w:val="22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4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  <w:color w:val="4B4B4B"/>
                <w:sz w:val="18"/>
                <w:szCs w:val="18"/>
              </w:rPr>
              <w:t>Název cookies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5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  <w:color w:val="4B4B4B"/>
                <w:sz w:val="18"/>
                <w:szCs w:val="18"/>
              </w:rPr>
              <w:t>Účel</w:t>
            </w:r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6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  <w:color w:val="4B4B4B"/>
                <w:sz w:val="18"/>
                <w:szCs w:val="18"/>
              </w:rPr>
              <w:t>Doba trvání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7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  <w:color w:val="4B4B4B"/>
                <w:sz w:val="18"/>
                <w:szCs w:val="18"/>
              </w:rPr>
              <w:t>Právní titul</w:t>
            </w:r>
          </w:p>
        </w:tc>
      </w:tr>
      <w:tr w:rsidR="002C33EA" w14:paraId="729B6B01" w14:textId="77777777">
        <w:trPr>
          <w:trHeight w:val="460"/>
        </w:trPr>
        <w:tc>
          <w:tcPr>
            <w:tcW w:w="2072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8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GoogleAds, AdWords</w:t>
            </w:r>
          </w:p>
        </w:tc>
        <w:tc>
          <w:tcPr>
            <w:tcW w:w="2073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9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Tracking, Remarketing</w:t>
            </w:r>
          </w:p>
        </w:tc>
        <w:tc>
          <w:tcPr>
            <w:tcW w:w="2072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A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Persistent</w:t>
            </w: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br/>
              <w:t>1 měsíc</w:t>
            </w:r>
          </w:p>
        </w:tc>
        <w:tc>
          <w:tcPr>
            <w:tcW w:w="2073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B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Souhlas návštěvníka</w:t>
            </w:r>
          </w:p>
        </w:tc>
      </w:tr>
      <w:tr w:rsidR="002C33EA" w14:paraId="4F650963" w14:textId="77777777">
        <w:trPr>
          <w:trHeight w:val="460"/>
        </w:trPr>
        <w:tc>
          <w:tcPr>
            <w:tcW w:w="20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C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Sklik</w:t>
            </w:r>
          </w:p>
        </w:tc>
        <w:tc>
          <w:tcPr>
            <w:tcW w:w="20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D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Tracking, Remarketing</w:t>
            </w:r>
          </w:p>
        </w:tc>
        <w:tc>
          <w:tcPr>
            <w:tcW w:w="20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E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Persistent</w:t>
            </w: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br/>
              <w:t>1 měsíc</w:t>
            </w:r>
          </w:p>
        </w:tc>
        <w:tc>
          <w:tcPr>
            <w:tcW w:w="20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F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Souhlas návštěvníka</w:t>
            </w:r>
          </w:p>
        </w:tc>
      </w:tr>
      <w:tr w:rsidR="002C33EA" w14:paraId="7225F6E6" w14:textId="77777777">
        <w:trPr>
          <w:trHeight w:val="460"/>
        </w:trPr>
        <w:tc>
          <w:tcPr>
            <w:tcW w:w="20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0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Facebook</w:t>
            </w:r>
          </w:p>
        </w:tc>
        <w:tc>
          <w:tcPr>
            <w:tcW w:w="20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1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Tracking, Konverzní, Remarketing</w:t>
            </w:r>
          </w:p>
        </w:tc>
        <w:tc>
          <w:tcPr>
            <w:tcW w:w="20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2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Persistent</w:t>
            </w:r>
          </w:p>
        </w:tc>
        <w:tc>
          <w:tcPr>
            <w:tcW w:w="20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3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Souhlas návštěvníka</w:t>
            </w:r>
          </w:p>
        </w:tc>
      </w:tr>
      <w:tr w:rsidR="002C33EA" w14:paraId="357DD0E3" w14:textId="77777777">
        <w:trPr>
          <w:trHeight w:val="1180"/>
        </w:trPr>
        <w:tc>
          <w:tcPr>
            <w:tcW w:w="20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4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Google Analytics</w:t>
            </w: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br/>
            </w: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(_ga, _gad, _gid, cid, utmv, utmz, utma, utmb, utmc)</w:t>
            </w:r>
          </w:p>
        </w:tc>
        <w:tc>
          <w:tcPr>
            <w:tcW w:w="20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5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Analytical, Tracking</w:t>
            </w:r>
          </w:p>
        </w:tc>
        <w:tc>
          <w:tcPr>
            <w:tcW w:w="20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6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Persistent</w:t>
            </w: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br/>
              <w:t>50 měsíců</w:t>
            </w: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br/>
              <w:t>Persistent</w:t>
            </w: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br/>
              <w:t>Persistent</w:t>
            </w: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br/>
              <w:t>Session</w:t>
            </w:r>
          </w:p>
        </w:tc>
        <w:tc>
          <w:tcPr>
            <w:tcW w:w="20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7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Oprávněný zájem správce na udržení funkčnosti webu</w:t>
            </w:r>
          </w:p>
        </w:tc>
      </w:tr>
      <w:tr w:rsidR="002C33EA" w14:paraId="36C36DB5" w14:textId="77777777">
        <w:trPr>
          <w:trHeight w:val="700"/>
        </w:trPr>
        <w:tc>
          <w:tcPr>
            <w:tcW w:w="20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8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PHPSESSID</w:t>
            </w: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br/>
              <w:t>pro udržení funkčnosti</w:t>
            </w:r>
          </w:p>
        </w:tc>
        <w:tc>
          <w:tcPr>
            <w:tcW w:w="20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9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Essential</w:t>
            </w:r>
          </w:p>
        </w:tc>
        <w:tc>
          <w:tcPr>
            <w:tcW w:w="20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A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Session</w:t>
            </w:r>
          </w:p>
        </w:tc>
        <w:tc>
          <w:tcPr>
            <w:tcW w:w="20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B" w14:textId="77777777" w:rsidR="002C33EA" w:rsidRDefault="0019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color w:val="4B4B4B"/>
                <w:sz w:val="18"/>
                <w:szCs w:val="18"/>
                <w:highlight w:val="yellow"/>
              </w:rPr>
              <w:t>Oprávněný zájem na udržení funkčnosti webu</w:t>
            </w:r>
          </w:p>
        </w:tc>
      </w:tr>
    </w:tbl>
    <w:p w14:paraId="0000003C" w14:textId="77777777" w:rsidR="002C33EA" w:rsidRDefault="002C33E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14:paraId="0000003D" w14:textId="77777777" w:rsidR="002C33EA" w:rsidRDefault="00190045">
      <w:pPr>
        <w:pStyle w:val="Nadpis2"/>
        <w:numPr>
          <w:ilvl w:val="1"/>
          <w:numId w:val="1"/>
        </w:numPr>
      </w:pPr>
      <w:r>
        <w:t>Marketingové aktivity, které pomocí cookies můžeme dělat</w:t>
      </w:r>
    </w:p>
    <w:p w14:paraId="0000003E" w14:textId="77777777" w:rsidR="002C33EA" w:rsidRDefault="00190045">
      <w:pPr>
        <w:pStyle w:val="Nadpis3"/>
        <w:numPr>
          <w:ilvl w:val="2"/>
          <w:numId w:val="1"/>
        </w:numPr>
      </w:pPr>
      <w:r>
        <w:t xml:space="preserve">Profilování: </w:t>
      </w:r>
    </w:p>
    <w:p w14:paraId="0000003F" w14:textId="77777777" w:rsidR="002C33EA" w:rsidRDefault="00190045">
      <w:pPr>
        <w:pStyle w:val="Nadpis3"/>
        <w:ind w:left="709" w:firstLine="0"/>
      </w:pPr>
      <w:r>
        <w:t>Používáním technologie souborů cookies na našich webových stránkách máme možnost obeznámit se s preferencemi uživatelů – např. analýzou, jak často navštěvují naší webovou stránku nebo jaké výrobky si nejčastěji prohlíží. Analýza chování na internetu nám po</w:t>
      </w:r>
      <w:r>
        <w:t>máhá lépe pochopit zvyky a očekávání zákazníků a přizpůsobit se jejich požadavkům a zájmům. Díky této technologii můžeme nejenom předat uživateli reklamu uzpůsobenou jemu na míru a z našich aktuálních nabídek prezentovat jen ty, která nejlépe splňují potře</w:t>
      </w:r>
      <w:r>
        <w:t xml:space="preserve">by uživatele, ale také můžeme </w:t>
      </w:r>
      <w:r>
        <w:lastRenderedPageBreak/>
        <w:t>vytvářet a prezentovat uživateli nabídky a slevy, které nejsou k dispozici jiným uživatelům.</w:t>
      </w:r>
    </w:p>
    <w:p w14:paraId="00000040" w14:textId="77777777" w:rsidR="002C33EA" w:rsidRDefault="00190045">
      <w:pPr>
        <w:pStyle w:val="Nadpis3"/>
        <w:numPr>
          <w:ilvl w:val="2"/>
          <w:numId w:val="1"/>
        </w:numPr>
      </w:pPr>
      <w:r>
        <w:t xml:space="preserve">Retargeting: </w:t>
      </w:r>
    </w:p>
    <w:p w14:paraId="00000041" w14:textId="77777777" w:rsidR="002C33EA" w:rsidRDefault="00190045">
      <w:pPr>
        <w:pStyle w:val="Nadpis3"/>
        <w:ind w:left="709" w:firstLine="0"/>
      </w:pPr>
      <w:r>
        <w:t>Na základě souborů cookies používáme technologii, která nám umožňuje oslovit uživatele, kteří již dříve navštívili naší</w:t>
      </w:r>
      <w:r>
        <w:t xml:space="preserve"> webovou stránku nebo jiné webové stránky, včetně takových stránek, které spolupracují s našimi spolupracujícími subjekty.</w:t>
      </w:r>
    </w:p>
    <w:p w14:paraId="00000042" w14:textId="77777777" w:rsidR="002C33EA" w:rsidRDefault="00190045">
      <w:pPr>
        <w:pStyle w:val="Nadpis3"/>
        <w:ind w:left="709" w:firstLine="0"/>
      </w:pPr>
      <w:r>
        <w:t>Máme za to, že pro uživatele je zajímavější a více praktické, aby zobrazované nabídky byly v souladu s jeho zájmy a potřebami zjištěn</w:t>
      </w:r>
      <w:r>
        <w:t xml:space="preserve">ými na základě analýzy předchozího chování získanému díky technologii cookies. Z tohoto důvodu máme zájem na sledování reklam zobrazovaných uživateli na jiných webových stránkách za účelem poskytování reklamního obsahu přizpůsobenému předchozí internetové </w:t>
      </w:r>
      <w:r>
        <w:t>aktivitě.</w:t>
      </w:r>
    </w:p>
    <w:p w14:paraId="00000043" w14:textId="77777777" w:rsidR="002C33EA" w:rsidRDefault="00190045">
      <w:pPr>
        <w:pStyle w:val="Nadpis3"/>
        <w:ind w:firstLine="0"/>
        <w:rPr>
          <w:highlight w:val="yellow"/>
        </w:rPr>
      </w:pPr>
      <w:r>
        <w:rPr>
          <w:highlight w:val="yellow"/>
        </w:rPr>
        <w:t>Nejnovější verze tohoto poučení o cookies je platná ode dne ____________</w:t>
      </w:r>
    </w:p>
    <w:sectPr w:rsidR="002C33EA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 V" w:date="2020-01-31T22:23:00Z" w:initials="">
    <w:p w14:paraId="00000046" w14:textId="77777777" w:rsidR="002C33EA" w:rsidRDefault="00190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Každý e-shop upraví podle toho, jaké konkrétní subjekty využívá, výčet je pouze orientační. Může se jednat take o e-mailingové nástroje, nástroje sociálních sítí apod.</w:t>
      </w:r>
    </w:p>
  </w:comment>
  <w:comment w:id="2" w:author="J V" w:date="2020-02-03T11:46:00Z" w:initials="">
    <w:p w14:paraId="00000047" w14:textId="2A3B2441" w:rsidR="002C33EA" w:rsidRDefault="00190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Každý e-</w:t>
      </w:r>
      <w:r w:rsidR="007C7BE2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hop tuto část musí přizpůsobit podle reálně používaných druhů cookies, tabulka s</w:t>
      </w:r>
      <w:r>
        <w:rPr>
          <w:rFonts w:ascii="Arial" w:eastAsia="Arial" w:hAnsi="Arial" w:cs="Arial"/>
          <w:sz w:val="22"/>
          <w:szCs w:val="22"/>
        </w:rPr>
        <w:t>louží pouze orientačně.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000046" w15:done="0"/>
  <w15:commentEx w15:paraId="000000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46" w16cid:durableId="236F719F"/>
  <w16cid:commentId w16cid:paraId="00000047" w16cid:durableId="236F71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7ABAF" w14:textId="77777777" w:rsidR="00190045" w:rsidRDefault="00190045">
      <w:r>
        <w:separator/>
      </w:r>
    </w:p>
  </w:endnote>
  <w:endnote w:type="continuationSeparator" w:id="0">
    <w:p w14:paraId="302109CE" w14:textId="77777777" w:rsidR="00190045" w:rsidRDefault="0019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5" w14:textId="77777777" w:rsidR="002C33EA" w:rsidRDefault="002C33E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53ABA" w14:textId="77777777" w:rsidR="00190045" w:rsidRDefault="00190045">
      <w:r>
        <w:separator/>
      </w:r>
    </w:p>
  </w:footnote>
  <w:footnote w:type="continuationSeparator" w:id="0">
    <w:p w14:paraId="318BD67B" w14:textId="77777777" w:rsidR="00190045" w:rsidRDefault="0019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4" w14:textId="77777777" w:rsidR="002C33EA" w:rsidRDefault="002C33E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A0B9D"/>
    <w:multiLevelType w:val="multilevel"/>
    <w:tmpl w:val="62CCBEBC"/>
    <w:lvl w:ilvl="0">
      <w:start w:val="1"/>
      <w:numFmt w:val="decimal"/>
      <w:lvlText w:val="%1."/>
      <w:lvlJc w:val="left"/>
      <w:pPr>
        <w:ind w:left="731" w:hanging="731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719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709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1429" w:firstLine="1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2149" w:firstLine="2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(%6)"/>
      <w:lvlJc w:val="left"/>
      <w:pPr>
        <w:ind w:left="2869" w:firstLine="3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(%7)"/>
      <w:lvlJc w:val="left"/>
      <w:pPr>
        <w:ind w:left="3589" w:firstLine="4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(%8)"/>
      <w:lvlJc w:val="left"/>
      <w:pPr>
        <w:ind w:left="4309" w:firstLine="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(%9)"/>
      <w:lvlJc w:val="left"/>
      <w:pPr>
        <w:ind w:left="5029" w:firstLine="72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A623C2B"/>
    <w:multiLevelType w:val="multilevel"/>
    <w:tmpl w:val="20AE2A9E"/>
    <w:lvl w:ilvl="0">
      <w:start w:val="1"/>
      <w:numFmt w:val="decimal"/>
      <w:lvlText w:val="%1."/>
      <w:lvlJc w:val="left"/>
      <w:pPr>
        <w:ind w:left="731" w:hanging="731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8"/>
      <w:numFmt w:val="upperRoman"/>
      <w:lvlText w:val="%2."/>
      <w:lvlJc w:val="left"/>
      <w:pPr>
        <w:ind w:left="719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709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1429" w:firstLine="1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2149" w:firstLine="2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(%6)"/>
      <w:lvlJc w:val="left"/>
      <w:pPr>
        <w:ind w:left="2869" w:firstLine="3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(%7)"/>
      <w:lvlJc w:val="left"/>
      <w:pPr>
        <w:ind w:left="3589" w:firstLine="4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(%8)"/>
      <w:lvlJc w:val="left"/>
      <w:pPr>
        <w:ind w:left="4309" w:firstLine="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(%9)"/>
      <w:lvlJc w:val="left"/>
      <w:pPr>
        <w:ind w:left="5029" w:firstLine="72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CAC616C"/>
    <w:multiLevelType w:val="multilevel"/>
    <w:tmpl w:val="67D6F2D0"/>
    <w:lvl w:ilvl="0">
      <w:start w:val="1"/>
      <w:numFmt w:val="decimal"/>
      <w:lvlText w:val="%1."/>
      <w:lvlJc w:val="left"/>
      <w:pPr>
        <w:ind w:left="731" w:hanging="731"/>
      </w:pPr>
      <w:rPr>
        <w:rFonts w:ascii="Helvetica Neue" w:eastAsia="Helvetica Neue" w:hAnsi="Helvetica Neue" w:cs="Helvetica Neue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5"/>
      <w:numFmt w:val="upperRoman"/>
      <w:lvlText w:val="%2."/>
      <w:lvlJc w:val="left"/>
      <w:pPr>
        <w:ind w:left="719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709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1429" w:firstLine="1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2149" w:firstLine="2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(%6)"/>
      <w:lvlJc w:val="left"/>
      <w:pPr>
        <w:ind w:left="2869" w:firstLine="3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(%7)"/>
      <w:lvlJc w:val="left"/>
      <w:pPr>
        <w:ind w:left="3589" w:firstLine="4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(%8)"/>
      <w:lvlJc w:val="left"/>
      <w:pPr>
        <w:ind w:left="4309" w:firstLine="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(%9)"/>
      <w:lvlJc w:val="left"/>
      <w:pPr>
        <w:ind w:left="5029" w:firstLine="72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7160F81"/>
    <w:multiLevelType w:val="multilevel"/>
    <w:tmpl w:val="F38E4CC4"/>
    <w:lvl w:ilvl="0">
      <w:start w:val="1"/>
      <w:numFmt w:val="bullet"/>
      <w:lvlText w:val="•"/>
      <w:lvlJc w:val="left"/>
      <w:pPr>
        <w:ind w:left="579" w:hanging="1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24" w:hanging="1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69" w:hanging="1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851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946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1042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137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232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328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" w15:restartNumberingAfterBreak="0">
    <w:nsid w:val="737C3C41"/>
    <w:multiLevelType w:val="multilevel"/>
    <w:tmpl w:val="AB3CAA52"/>
    <w:lvl w:ilvl="0">
      <w:start w:val="1"/>
      <w:numFmt w:val="decimal"/>
      <w:lvlText w:val="%1."/>
      <w:lvlJc w:val="left"/>
      <w:pPr>
        <w:ind w:left="590" w:firstLine="11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604" w:firstLine="12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709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29" w:firstLine="1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2149" w:firstLine="2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(%6)"/>
      <w:lvlJc w:val="left"/>
      <w:pPr>
        <w:ind w:left="2869" w:firstLine="3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(%7)"/>
      <w:lvlJc w:val="left"/>
      <w:pPr>
        <w:ind w:left="3589" w:firstLine="4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(%8)"/>
      <w:lvlJc w:val="left"/>
      <w:pPr>
        <w:ind w:left="4309" w:firstLine="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(%9)"/>
      <w:lvlJc w:val="left"/>
      <w:pPr>
        <w:ind w:left="5029" w:firstLine="72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EA"/>
    <w:rsid w:val="00190045"/>
    <w:rsid w:val="002C33EA"/>
    <w:rsid w:val="007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3722D"/>
  <w15:docId w15:val="{A816E724-FE18-9047-BE7D-474F026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  <w:u w:color="000000"/>
    </w:rPr>
  </w:style>
  <w:style w:type="paragraph" w:styleId="Nadpis1">
    <w:name w:val="heading 1"/>
    <w:basedOn w:val="Normln"/>
    <w:next w:val="Normln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120"/>
      <w:jc w:val="center"/>
      <w:outlineLvl w:val="0"/>
    </w:pPr>
    <w:rPr>
      <w:rFonts w:ascii="Montserrat" w:eastAsia="Montserrat" w:hAnsi="Montserrat" w:cs="Montserrat"/>
      <w:b/>
    </w:rPr>
  </w:style>
  <w:style w:type="paragraph" w:styleId="Nadpis2">
    <w:name w:val="heading 2"/>
    <w:basedOn w:val="Normln"/>
    <w:next w:val="Normln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120"/>
      <w:outlineLvl w:val="1"/>
    </w:pPr>
    <w:rPr>
      <w:rFonts w:ascii="Montserrat" w:eastAsia="Montserrat" w:hAnsi="Montserrat" w:cs="Montserrat"/>
      <w:b/>
      <w:sz w:val="20"/>
      <w:szCs w:val="20"/>
    </w:rPr>
  </w:style>
  <w:style w:type="paragraph" w:styleId="Nadpis3">
    <w:name w:val="heading 3"/>
    <w:basedOn w:val="Normln"/>
    <w:next w:val="Normln"/>
    <w:uiPriority w:val="9"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/>
      <w:ind w:firstLine="707"/>
      <w:jc w:val="both"/>
      <w:outlineLvl w:val="2"/>
    </w:pPr>
    <w:rPr>
      <w:rFonts w:ascii="Montserrat" w:eastAsia="Montserrat" w:hAnsi="Montserrat" w:cs="Montserrat"/>
      <w:sz w:val="20"/>
      <w:szCs w:val="20"/>
    </w:rPr>
  </w:style>
  <w:style w:type="paragraph" w:styleId="Nadpis4">
    <w:name w:val="heading 4"/>
    <w:basedOn w:val="Normln"/>
    <w:next w:val="Normln"/>
    <w:uiPriority w:val="9"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/>
      <w:ind w:firstLine="565"/>
      <w:jc w:val="both"/>
      <w:outlineLvl w:val="3"/>
    </w:pPr>
    <w:rPr>
      <w:rFonts w:ascii="Montserrat" w:eastAsia="Montserrat" w:hAnsi="Montserrat" w:cs="Montserrat"/>
      <w:sz w:val="20"/>
      <w:szCs w:val="2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numbering" w:customStyle="1" w:styleId="Importovanstyl1">
    <w:name w:val="Importovaný styl 1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Montserrat" w:eastAsia="Montserrat" w:hAnsi="Montserrat" w:cs="Montserrat"/>
      <w:color w:val="0563C1"/>
      <w:sz w:val="20"/>
      <w:szCs w:val="20"/>
      <w:u w:val="single" w:color="0563C1"/>
    </w:rPr>
  </w:style>
  <w:style w:type="character" w:customStyle="1" w:styleId="Hyperlink1">
    <w:name w:val="Hyperlink.1"/>
    <w:basedOn w:val="Hypertextovodkaz"/>
    <w:rPr>
      <w:color w:val="0000FF"/>
      <w:u w:val="single" w:color="0000FF"/>
    </w:rPr>
  </w:style>
  <w:style w:type="numbering" w:customStyle="1" w:styleId="Importovanstyl2">
    <w:name w:val="Importovaný styl 2"/>
  </w:style>
  <w:style w:type="numbering" w:customStyle="1" w:styleId="Importovanstyl10">
    <w:name w:val="Importovaný styl 1.0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2C0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C03"/>
    <w:rPr>
      <w:rFonts w:eastAsia="Calibr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DE37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77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742"/>
    <w:rPr>
      <w:rFonts w:ascii="Calibri" w:eastAsia="Calibri" w:hAnsi="Calibri" w:cs="Calibri"/>
      <w:color w:val="000000"/>
      <w:sz w:val="20"/>
      <w:szCs w:val="2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7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742"/>
    <w:rPr>
      <w:rFonts w:ascii="Calibri" w:eastAsia="Calibri" w:hAnsi="Calibri" w:cs="Calibri"/>
      <w:b/>
      <w:bCs/>
      <w:color w:val="000000"/>
      <w:sz w:val="20"/>
      <w:szCs w:val="20"/>
      <w:u w:color="00000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eJ11+VgP2c5EXhTb504yBsi2fA==">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O. Růžek</cp:lastModifiedBy>
  <cp:revision>2</cp:revision>
  <dcterms:created xsi:type="dcterms:W3CDTF">2020-01-31T21:00:00Z</dcterms:created>
  <dcterms:modified xsi:type="dcterms:W3CDTF">2020-11-30T12:27:00Z</dcterms:modified>
</cp:coreProperties>
</file>